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F9EE7" w14:textId="77777777" w:rsidR="00DD6FE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-6"/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5C4CF58E" wp14:editId="0F7521AE">
            <wp:extent cx="786092" cy="73088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6092" cy="730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19050" distB="19050" distL="19050" distR="19050" wp14:anchorId="1B99C291" wp14:editId="74C9EA8C">
            <wp:extent cx="3030855" cy="7620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085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19050" distB="19050" distL="19050" distR="19050" wp14:anchorId="0137EDB5" wp14:editId="59A6DB25">
            <wp:extent cx="2348865" cy="1357629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8865" cy="13576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FFCF85" w14:textId="77777777" w:rsidR="00DD6FED" w:rsidRDefault="00DD6F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-6"/>
        <w:jc w:val="center"/>
        <w:rPr>
          <w:rFonts w:ascii="Calibri" w:eastAsia="Calibri" w:hAnsi="Calibri" w:cs="Calibri"/>
          <w:b/>
          <w:color w:val="222222"/>
          <w:sz w:val="28"/>
          <w:szCs w:val="28"/>
          <w:highlight w:val="white"/>
        </w:rPr>
      </w:pPr>
    </w:p>
    <w:p w14:paraId="46C905B8" w14:textId="77777777" w:rsidR="00DD6FED" w:rsidRDefault="00DD6F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-6"/>
        <w:jc w:val="center"/>
        <w:rPr>
          <w:rFonts w:ascii="Calibri" w:eastAsia="Calibri" w:hAnsi="Calibri" w:cs="Calibri"/>
          <w:b/>
          <w:color w:val="222222"/>
          <w:sz w:val="28"/>
          <w:szCs w:val="28"/>
          <w:highlight w:val="white"/>
        </w:rPr>
      </w:pPr>
    </w:p>
    <w:p w14:paraId="28ED4CF8" w14:textId="77777777" w:rsidR="00DD6FED" w:rsidRDefault="00DD6F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-6"/>
        <w:rPr>
          <w:rFonts w:ascii="Calibri" w:eastAsia="Calibri" w:hAnsi="Calibri" w:cs="Calibri"/>
          <w:b/>
          <w:color w:val="222222"/>
          <w:sz w:val="28"/>
          <w:szCs w:val="28"/>
          <w:highlight w:val="white"/>
        </w:rPr>
      </w:pPr>
    </w:p>
    <w:p w14:paraId="32AE99DD" w14:textId="77777777" w:rsidR="00DD6FE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-6"/>
        <w:jc w:val="center"/>
        <w:rPr>
          <w:rFonts w:ascii="Calibri" w:eastAsia="Calibri" w:hAnsi="Calibri" w:cs="Calibri"/>
          <w:b/>
          <w:color w:val="222222"/>
          <w:sz w:val="28"/>
          <w:szCs w:val="28"/>
          <w:highlight w:val="white"/>
        </w:rPr>
      </w:pPr>
      <w:r>
        <w:rPr>
          <w:rFonts w:ascii="Calibri" w:eastAsia="Calibri" w:hAnsi="Calibri" w:cs="Calibri"/>
          <w:b/>
          <w:color w:val="222222"/>
          <w:sz w:val="28"/>
          <w:szCs w:val="28"/>
          <w:highlight w:val="white"/>
        </w:rPr>
        <w:t>PRESENTAZIONI PERCORSI REALIZZATI DA UNITO NELL’AMBITO DEL PNRR 23/24</w:t>
      </w:r>
    </w:p>
    <w:p w14:paraId="6F518FF8" w14:textId="77777777" w:rsidR="00DD6FED" w:rsidRDefault="00DD6F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-6"/>
        <w:jc w:val="center"/>
        <w:rPr>
          <w:rFonts w:ascii="Calibri" w:eastAsia="Calibri" w:hAnsi="Calibri" w:cs="Calibri"/>
          <w:b/>
          <w:color w:val="222222"/>
          <w:sz w:val="28"/>
          <w:szCs w:val="28"/>
          <w:highlight w:val="white"/>
        </w:rPr>
      </w:pPr>
    </w:p>
    <w:p w14:paraId="270D1162" w14:textId="070E6178" w:rsidR="00DD6FE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-6"/>
        <w:jc w:val="center"/>
        <w:rPr>
          <w:rFonts w:ascii="Calibri" w:eastAsia="Calibri" w:hAnsi="Calibri" w:cs="Calibri"/>
          <w:b/>
          <w:color w:val="222222"/>
          <w:sz w:val="28"/>
          <w:szCs w:val="28"/>
        </w:rPr>
      </w:pPr>
      <w:r>
        <w:rPr>
          <w:rFonts w:ascii="Calibri" w:eastAsia="Calibri" w:hAnsi="Calibri" w:cs="Calibri"/>
          <w:b/>
          <w:color w:val="222222"/>
          <w:sz w:val="28"/>
          <w:szCs w:val="28"/>
        </w:rPr>
        <w:t xml:space="preserve">IL CALENDARIO DEGLI INCONTRI E’ VISIBILE </w:t>
      </w:r>
      <w:r w:rsidR="00FC6C5C">
        <w:rPr>
          <w:rFonts w:ascii="Calibri" w:eastAsia="Calibri" w:hAnsi="Calibri" w:cs="Calibri"/>
          <w:b/>
          <w:color w:val="222222"/>
          <w:sz w:val="28"/>
          <w:szCs w:val="28"/>
        </w:rPr>
        <w:t>ANCHE</w:t>
      </w:r>
      <w:r>
        <w:rPr>
          <w:rFonts w:ascii="Calibri" w:eastAsia="Calibri" w:hAnsi="Calibri" w:cs="Calibri"/>
          <w:b/>
          <w:color w:val="222222"/>
          <w:sz w:val="28"/>
          <w:szCs w:val="28"/>
        </w:rPr>
        <w:t xml:space="preserve"> SU RE  </w:t>
      </w:r>
    </w:p>
    <w:p w14:paraId="3B60B2D8" w14:textId="77777777" w:rsidR="00DD6FED" w:rsidRDefault="00DD6F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-6"/>
        <w:jc w:val="center"/>
        <w:rPr>
          <w:rFonts w:ascii="Calibri" w:eastAsia="Calibri" w:hAnsi="Calibri" w:cs="Calibri"/>
          <w:b/>
          <w:color w:val="222222"/>
          <w:sz w:val="28"/>
          <w:szCs w:val="28"/>
        </w:rPr>
      </w:pPr>
    </w:p>
    <w:p w14:paraId="07B9E4EF" w14:textId="77777777" w:rsidR="00DD6FED" w:rsidRDefault="00DD6F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-6"/>
        <w:jc w:val="center"/>
        <w:rPr>
          <w:rFonts w:ascii="Calibri" w:eastAsia="Calibri" w:hAnsi="Calibri" w:cs="Calibri"/>
          <w:b/>
          <w:color w:val="222222"/>
          <w:sz w:val="28"/>
          <w:szCs w:val="28"/>
        </w:rPr>
      </w:pPr>
    </w:p>
    <w:p w14:paraId="01905DD9" w14:textId="77777777" w:rsidR="00DD6FE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-6"/>
        <w:rPr>
          <w:rFonts w:ascii="Calibri" w:eastAsia="Calibri" w:hAnsi="Calibri" w:cs="Calibri"/>
          <w:b/>
          <w:color w:val="222222"/>
          <w:sz w:val="28"/>
          <w:szCs w:val="28"/>
        </w:rPr>
      </w:pPr>
      <w:r>
        <w:rPr>
          <w:rFonts w:ascii="Calibri" w:eastAsia="Calibri" w:hAnsi="Calibri" w:cs="Calibri"/>
          <w:b/>
          <w:color w:val="222222"/>
          <w:sz w:val="28"/>
          <w:szCs w:val="28"/>
          <w:highlight w:val="white"/>
        </w:rPr>
        <w:t>PERCORSO PER LE CLASSI TERZE</w:t>
      </w:r>
      <w:r>
        <w:rPr>
          <w:rFonts w:ascii="Calibri" w:eastAsia="Calibri" w:hAnsi="Calibri" w:cs="Calibri"/>
          <w:b/>
          <w:color w:val="222222"/>
          <w:sz w:val="28"/>
          <w:szCs w:val="28"/>
        </w:rPr>
        <w:t xml:space="preserve"> </w:t>
      </w:r>
    </w:p>
    <w:p w14:paraId="1A6D0A14" w14:textId="77777777" w:rsidR="00DD6FE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ind w:left="720"/>
        <w:rPr>
          <w:rFonts w:ascii="Calibri" w:eastAsia="Calibri" w:hAnsi="Calibri" w:cs="Calibri"/>
          <w:b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>3) Un viaggio nelle scelte: alla scoperta di sé</w:t>
      </w:r>
      <w:r>
        <w:rPr>
          <w:rFonts w:ascii="Calibri" w:eastAsia="Calibri" w:hAnsi="Calibri" w:cs="Calibri"/>
          <w:b/>
          <w:color w:val="222222"/>
          <w:sz w:val="24"/>
          <w:szCs w:val="24"/>
        </w:rPr>
        <w:t xml:space="preserve"> </w:t>
      </w:r>
    </w:p>
    <w:p w14:paraId="6428563D" w14:textId="77777777" w:rsidR="00DD6FE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9" w:lineRule="auto"/>
        <w:ind w:left="718" w:right="332" w:hanging="347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Il percorso propone, attraverso musica, spezzoni di film, serie tv e video, riflessioni sui seguenti temi: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- importanza delle scelte quotidiane;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</w:p>
    <w:p w14:paraId="7A81579B" w14:textId="77777777" w:rsidR="00DD6FE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718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- il ruolo di stereotipi e pregiudizi nelle decisioni;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</w:p>
    <w:p w14:paraId="4F0ADDFA" w14:textId="77777777" w:rsidR="00DD6FE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718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- il ruolo del caso nella vita delle persone;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</w:p>
    <w:p w14:paraId="6EF2A5A5" w14:textId="77777777" w:rsidR="00DD6FE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left="718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- i valori nelle scelte;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</w:p>
    <w:p w14:paraId="6DC9A55F" w14:textId="77777777" w:rsidR="00DD6FE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718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- le conseguenze delle decisioni;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</w:p>
    <w:p w14:paraId="6BDA2638" w14:textId="77777777" w:rsidR="00DD6FE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718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- scelte di valore nelle grandi biografie e negli eroi del quotidiano.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</w:p>
    <w:p w14:paraId="2AF92429" w14:textId="77777777" w:rsidR="00DD6FE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79" w:lineRule="auto"/>
        <w:ind w:left="361" w:right="289" w:firstLine="8"/>
        <w:jc w:val="both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Il percorso si focalizza poi su strategie ed errori rispetto alla scelta, prevedendo simulazioni, giochi di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ruolo e l’uso di scale in self-assessment, per giungere ad analizzare la biografia personale, alla ricerca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delle proprie risorse, interessi, anche dal punto di vista degli altri. </w:t>
      </w:r>
    </w:p>
    <w:p w14:paraId="32ED0F70" w14:textId="77777777" w:rsidR="00DD6FED" w:rsidRDefault="00DD6F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79" w:lineRule="auto"/>
        <w:ind w:left="361" w:right="289" w:firstLine="8"/>
        <w:jc w:val="both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</w:p>
    <w:p w14:paraId="4B760DA9" w14:textId="77777777" w:rsidR="00DD6FE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79" w:lineRule="auto"/>
        <w:ind w:left="361" w:right="289" w:firstLine="8"/>
        <w:jc w:val="both"/>
        <w:rPr>
          <w:rFonts w:ascii="Calibri" w:eastAsia="Calibri" w:hAnsi="Calibri" w:cs="Calibri"/>
          <w:b/>
          <w:color w:val="222222"/>
          <w:sz w:val="28"/>
          <w:szCs w:val="28"/>
        </w:rPr>
      </w:pPr>
      <w:r>
        <w:rPr>
          <w:rFonts w:ascii="Calibri" w:eastAsia="Calibri" w:hAnsi="Calibri" w:cs="Calibri"/>
          <w:b/>
          <w:color w:val="222222"/>
          <w:sz w:val="28"/>
          <w:szCs w:val="28"/>
          <w:highlight w:val="white"/>
        </w:rPr>
        <w:t>PERCORSI PER LE CLASSI QUARTE</w:t>
      </w:r>
      <w:r>
        <w:rPr>
          <w:rFonts w:ascii="Calibri" w:eastAsia="Calibri" w:hAnsi="Calibri" w:cs="Calibri"/>
          <w:b/>
          <w:color w:val="222222"/>
          <w:sz w:val="28"/>
          <w:szCs w:val="28"/>
        </w:rPr>
        <w:t xml:space="preserve"> </w:t>
      </w:r>
    </w:p>
    <w:p w14:paraId="0AF6DB4C" w14:textId="77777777" w:rsidR="00DD6FE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2" w:line="240" w:lineRule="auto"/>
        <w:ind w:left="714"/>
        <w:rPr>
          <w:rFonts w:ascii="Calibri" w:eastAsia="Calibri" w:hAnsi="Calibri" w:cs="Calibri"/>
          <w:b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>4) Verso il futuro: alla scoperta delle professioni</w:t>
      </w:r>
      <w:r>
        <w:rPr>
          <w:rFonts w:ascii="Calibri" w:eastAsia="Calibri" w:hAnsi="Calibri" w:cs="Calibri"/>
          <w:b/>
          <w:color w:val="222222"/>
          <w:sz w:val="24"/>
          <w:szCs w:val="24"/>
        </w:rPr>
        <w:t xml:space="preserve"> </w:t>
      </w:r>
    </w:p>
    <w:p w14:paraId="3B47B05A" w14:textId="77777777" w:rsidR="00DD6FE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80" w:lineRule="auto"/>
        <w:ind w:left="358" w:right="289" w:firstLine="11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Il percorso si avvia con una riflessione mirata su di sé (risorse, caratteristiche, storia personale), per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passare poi a riflettere sulle scelte effettuate e sulle proprie strategie decisionali abituali.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Si focalizza in seguito l’attenzione sulle rappresentazioni professionali: modelli, desideri, valori e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interessi. Si avvia l’approfondimento sulle professioni con giochi e interviste ai professionisti. Si utilizza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l’Atlante delle professioni per esplorare gli ambiti professionali e le statistiche relative al mondo del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lavoro. Per gli studenti interessati ai percorsi universitari, si passa all’esplorazione guidata dei corsi di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studio, anche con l’utilizzo dei seguenti strumenti: Orient@mente e Start@Unito. Per gli studenti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interessati al lavoro o a corsi ITS si forniscono banche dati e opportunità di approfondimento sia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rispetto alle opportunità formative sia rispetto alle opportunità di ricerca attiva del lavoro. Si conclude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il percorso per ambedue i gruppi di studenti con la stesura del progetto orientativo.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</w:p>
    <w:p w14:paraId="484539F2" w14:textId="77777777" w:rsidR="00DD6FED" w:rsidRDefault="00DD6F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5" w:line="240" w:lineRule="auto"/>
        <w:rPr>
          <w:rFonts w:ascii="Calibri" w:eastAsia="Calibri" w:hAnsi="Calibri" w:cs="Calibri"/>
          <w:b/>
          <w:color w:val="222222"/>
          <w:sz w:val="28"/>
          <w:szCs w:val="28"/>
          <w:highlight w:val="white"/>
        </w:rPr>
      </w:pPr>
    </w:p>
    <w:p w14:paraId="22CCDD2C" w14:textId="77777777" w:rsidR="00DD6FE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5" w:line="240" w:lineRule="auto"/>
        <w:ind w:firstLine="720"/>
        <w:rPr>
          <w:rFonts w:ascii="Calibri" w:eastAsia="Calibri" w:hAnsi="Calibri" w:cs="Calibri"/>
          <w:b/>
          <w:color w:val="222222"/>
          <w:sz w:val="28"/>
          <w:szCs w:val="28"/>
        </w:rPr>
      </w:pPr>
      <w:r>
        <w:rPr>
          <w:rFonts w:ascii="Calibri" w:eastAsia="Calibri" w:hAnsi="Calibri" w:cs="Calibri"/>
          <w:b/>
          <w:color w:val="222222"/>
          <w:sz w:val="28"/>
          <w:szCs w:val="28"/>
          <w:highlight w:val="white"/>
        </w:rPr>
        <w:lastRenderedPageBreak/>
        <w:t>PERCORSI PER LE CLASSI QUINTE</w:t>
      </w:r>
      <w:r>
        <w:rPr>
          <w:rFonts w:ascii="Calibri" w:eastAsia="Calibri" w:hAnsi="Calibri" w:cs="Calibri"/>
          <w:b/>
          <w:color w:val="222222"/>
          <w:sz w:val="28"/>
          <w:szCs w:val="28"/>
        </w:rPr>
        <w:t xml:space="preserve"> </w:t>
      </w:r>
    </w:p>
    <w:p w14:paraId="284D95D0" w14:textId="77777777" w:rsidR="00DD6FE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1" w:line="240" w:lineRule="auto"/>
        <w:ind w:left="721"/>
        <w:rPr>
          <w:rFonts w:ascii="Calibri" w:eastAsia="Calibri" w:hAnsi="Calibri" w:cs="Calibri"/>
          <w:b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>5) Verso il futuro: dalle professioni ai percorsi di studio</w:t>
      </w:r>
      <w:r>
        <w:rPr>
          <w:rFonts w:ascii="Calibri" w:eastAsia="Calibri" w:hAnsi="Calibri" w:cs="Calibri"/>
          <w:b/>
          <w:color w:val="222222"/>
          <w:sz w:val="24"/>
          <w:szCs w:val="24"/>
        </w:rPr>
        <w:t xml:space="preserve"> </w:t>
      </w:r>
    </w:p>
    <w:p w14:paraId="43790236" w14:textId="77777777" w:rsidR="00DD6FE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80" w:lineRule="auto"/>
        <w:ind w:left="359" w:right="289" w:firstLine="10"/>
        <w:jc w:val="both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Il percorso si avvia con una riflessione su di sé, a partire dal passato per arrivare al presente e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proiettarsi nel futuro. Si procede con l’approfondimento delle strategie di decision-making e problem solving. Si prosegue con un approfondimento delle professioni e dei diversi modelli professionali,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andando ad indagare sia interessi che valori professionali. L’Atlante delle professioni viene utilizzato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sia per conoscere specificità degli ambiti professionali sia le statistiche relative agli ambiti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occupazionali, con attenzione alle differenze di genere. Il percorso procede con l’analisi delle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opportunità post-diploma, con un affondo, per gli studenti che intendono proseguire all’università, dei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corsi di studio offerti e dei test d’ingresso. Per gli studenti che non intendono proseguire invece il focus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si sposta sulle soft skills necessarie per il lavoro e sulle opportunità post-diploma.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</w:p>
    <w:p w14:paraId="1456AD8F" w14:textId="77777777" w:rsidR="00DD6FE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35" w:line="240" w:lineRule="auto"/>
        <w:ind w:right="357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sectPr w:rsidR="00DD6FED">
      <w:pgSz w:w="11900" w:h="16820"/>
      <w:pgMar w:top="240" w:right="672" w:bottom="640" w:left="67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FED"/>
    <w:rsid w:val="00DD6FED"/>
    <w:rsid w:val="00FC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4EE3"/>
  <w15:docId w15:val="{D323B364-279E-4BCD-B964-4AD7DA30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 Ferrero</cp:lastModifiedBy>
  <cp:revision>2</cp:revision>
  <dcterms:created xsi:type="dcterms:W3CDTF">2023-11-08T13:36:00Z</dcterms:created>
  <dcterms:modified xsi:type="dcterms:W3CDTF">2023-11-08T13:37:00Z</dcterms:modified>
</cp:coreProperties>
</file>